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Haparanda kommunfullmäktige</w:t>
      </w:r>
    </w:p>
    <w:p>
      <w:pPr>
        <w:pStyle w:val="Heading1"/>
      </w:pPr>
      <w:r>
        <w:t xml:space="preserve">Stärkt äldreomsorg med fler fastanställda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Haparanda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Köerna till särskilt boende är långa och hemtjänsten har hög personalomsättning. Kommunens rapport 2025 visar att 30 % av omsorgspersonalen är timanställda. Detta leder till otrygghet för äldre.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Haparanda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öka antalet fasta anställningar inom hemtjänst och särskilt boende med 15 tjänster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heltid som norm för alla omsorgsanställda.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minska andelen timvikarier till under 15 % inom två år.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medel för kompetensutveckling inom äldreomsorgen.</w:t>
      </w:r>
    </w:p>
    <w:p>
      <w:pPr>
        <w:spacing w:before="360"/>
      </w:pPr>
    </w:p>
    <w:p>
      <w:r>
        <w:t xml:space="preserve">Haparanda,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Haparanda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2026-07-14T00:09:06.505Z</dcterms:created>
  <dcterms:modified xsi:type="dcterms:W3CDTF">2026-07-14T00:09:06.505Z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